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CC1" w:rsidRDefault="00AF4CC1" w:rsidP="00AF4CC1">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AF4CC1" w:rsidRDefault="00AF4CC1" w:rsidP="00AF4CC1">
      <w:pPr>
        <w:spacing w:line="480" w:lineRule="auto"/>
        <w:ind w:leftChars="-250" w:left="-525" w:firstLineChars="200" w:firstLine="600"/>
        <w:rPr>
          <w:rFonts w:ascii="宋体" w:hAnsi="宋体"/>
          <w:sz w:val="30"/>
          <w:u w:val="single"/>
        </w:rPr>
      </w:pPr>
      <w:r>
        <w:rPr>
          <w:rFonts w:ascii="宋体" w:hAnsi="宋体"/>
          <w:sz w:val="30"/>
          <w:u w:val="single"/>
        </w:rPr>
        <w:t xml:space="preserve"> </w:t>
      </w:r>
      <w:r>
        <w:rPr>
          <w:rFonts w:ascii="宋体" w:hAnsi="宋体" w:hint="eastAsia"/>
          <w:sz w:val="30"/>
          <w:u w:val="single"/>
        </w:rPr>
        <w:t>环境科学与工程</w:t>
      </w:r>
      <w:r>
        <w:rPr>
          <w:rFonts w:ascii="宋体" w:hAnsi="宋体"/>
          <w:sz w:val="30"/>
          <w:u w:val="single"/>
        </w:rPr>
        <w:t xml:space="preserve"> </w:t>
      </w:r>
      <w:r>
        <w:rPr>
          <w:rFonts w:ascii="宋体" w:hAnsi="宋体"/>
          <w:sz w:val="30"/>
        </w:rPr>
        <w:t>学科、专业 ：</w:t>
      </w:r>
      <w:r>
        <w:rPr>
          <w:rFonts w:ascii="宋体" w:hAnsi="宋体"/>
          <w:sz w:val="30"/>
          <w:u w:val="single"/>
        </w:rPr>
        <w:t xml:space="preserve"> </w:t>
      </w:r>
      <w:r>
        <w:rPr>
          <w:rFonts w:ascii="宋体" w:hAnsi="宋体" w:hint="eastAsia"/>
          <w:sz w:val="30"/>
          <w:u w:val="single"/>
        </w:rPr>
        <w:t>077600环境科学与工程</w:t>
      </w:r>
      <w:r>
        <w:rPr>
          <w:rFonts w:ascii="宋体" w:hAnsi="宋体"/>
          <w:sz w:val="30"/>
          <w:u w:val="single"/>
        </w:rPr>
        <w:t xml:space="preserve">  </w:t>
      </w:r>
    </w:p>
    <w:p w:rsidR="00AF4CC1" w:rsidRPr="00CB561E" w:rsidRDefault="00AF4CC1" w:rsidP="00AF4CC1">
      <w:pPr>
        <w:spacing w:line="480" w:lineRule="auto"/>
        <w:ind w:leftChars="-250" w:left="-525" w:firstLineChars="150" w:firstLine="452"/>
        <w:rPr>
          <w:rFonts w:ascii="宋体" w:hAnsi="宋体"/>
          <w:b/>
          <w:sz w:val="30"/>
        </w:rPr>
      </w:pPr>
      <w:r w:rsidRPr="008743C0">
        <w:rPr>
          <w:rFonts w:ascii="宋体" w:hAnsi="宋体" w:hint="eastAsia"/>
          <w:b/>
          <w:sz w:val="30"/>
        </w:rPr>
        <w:t>考试科目名称（代码）：无机及分析化学</w:t>
      </w:r>
      <w:r w:rsidR="00270F63">
        <w:rPr>
          <w:rFonts w:ascii="宋体" w:hAnsi="宋体" w:hint="eastAsia"/>
          <w:b/>
          <w:sz w:val="30"/>
        </w:rPr>
        <w:t>(</w:t>
      </w:r>
      <w:r w:rsidR="009D4735">
        <w:rPr>
          <w:rFonts w:ascii="宋体" w:hAnsi="宋体" w:hint="eastAsia"/>
          <w:b/>
          <w:sz w:val="30"/>
        </w:rPr>
        <w:t>817</w:t>
      </w:r>
      <w:r w:rsidR="00270F63">
        <w:rPr>
          <w:rFonts w:ascii="宋体" w:hAnsi="宋体" w:hint="eastAsia"/>
          <w:b/>
          <w:sz w:val="30"/>
        </w:rPr>
        <w:t>)</w:t>
      </w:r>
    </w:p>
    <w:p w:rsidR="00AF4CC1" w:rsidRPr="00C979CC" w:rsidRDefault="00AF4CC1" w:rsidP="00AF4CC1">
      <w:pPr>
        <w:spacing w:line="360" w:lineRule="auto"/>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t xml:space="preserve">一、考试内容范围 </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.1化学热力学：</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 xml:space="preserve"> </w:t>
      </w:r>
      <w:r w:rsidRPr="00C979CC">
        <w:rPr>
          <w:rFonts w:asciiTheme="minorEastAsia" w:eastAsiaTheme="minorEastAsia" w:hAnsiTheme="minorEastAsia"/>
          <w:kern w:val="0"/>
          <w:sz w:val="28"/>
          <w:szCs w:val="28"/>
        </w:rPr>
        <w:t>热力学基本概念 热化学及化学反应热的计算 化学反应方向的判断 化学平衡及移动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.2分析化学概论：</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定量分析中的误差 有效数字及运算规则 滴定分析法概述</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.3酸碱平衡和酸碱滴定法：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酸碱分类 酸碱质子理论 酸碱平衡 缓冲溶液 酸碱滴定法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.4沉淀溶解平衡和沉淀滴定法：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沉淀溶解平衡 溶度积原理 沉淀滴定法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.5氧化还原平衡和氧化还原滴定法：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氧化还原反应 原电池 电极电势及应用 元素电势图及应用 氧化还原滴定法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.6配位平衡和配位滴定法：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配合物的基本概念 配合物的化学键理论 配位平衡 配位滴定法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.7分光光度法：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分光光度法概述 吸收定律 显色反应 分光光度计及使用方法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1</w:t>
      </w:r>
      <w:r w:rsidRPr="00C979CC">
        <w:rPr>
          <w:rFonts w:asciiTheme="minorEastAsia" w:eastAsiaTheme="minorEastAsia" w:hAnsiTheme="minorEastAsia"/>
          <w:kern w:val="0"/>
          <w:sz w:val="28"/>
          <w:szCs w:val="28"/>
        </w:rPr>
        <w:t>.8电势分析法：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 xml:space="preserve">电势分析法基本原理 </w:t>
      </w:r>
    </w:p>
    <w:p w:rsidR="00AF4CC1" w:rsidRPr="00C979CC" w:rsidRDefault="00AF4CC1" w:rsidP="00AF4CC1">
      <w:pPr>
        <w:spacing w:line="360" w:lineRule="auto"/>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lastRenderedPageBreak/>
        <w:t xml:space="preserve">二、考试要求 </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2.1</w:t>
      </w:r>
      <w:r>
        <w:rPr>
          <w:rFonts w:asciiTheme="minorEastAsia" w:eastAsiaTheme="minorEastAsia" w:hAnsiTheme="minorEastAsia"/>
          <w:kern w:val="0"/>
          <w:sz w:val="28"/>
          <w:szCs w:val="28"/>
        </w:rPr>
        <w:t xml:space="preserve"> </w:t>
      </w:r>
      <w:r w:rsidRPr="00C979CC">
        <w:rPr>
          <w:rFonts w:asciiTheme="minorEastAsia" w:eastAsiaTheme="minorEastAsia" w:hAnsiTheme="minorEastAsia"/>
          <w:kern w:val="0"/>
          <w:sz w:val="28"/>
          <w:szCs w:val="28"/>
        </w:rPr>
        <w:t>化学热力学</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(1)了解热力学能、焓、熵、吉布斯自由能等状态函数的性质，功与热等概念。</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(2)掌握热力学第一定律的计算：恒压热与焓变、恒容热与热力学能变的关系及成立的条件。</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掌握化学反应热、热化学方程式、化学反应进度、标准态、标准摩尔生成焓、标准摩尔生成吉布斯自由能、化学反应的摩尔焓变、化学反应的摩尔熵变、化学反应的摩尔吉布斯自由能变等基本概念及吉布斯自由能判据的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(4)掌握化学反应的</w:t>
      </w:r>
      <w:proofErr w:type="spellStart"/>
      <w:r w:rsidRPr="00C979CC">
        <w:rPr>
          <w:rFonts w:asciiTheme="minorEastAsia" w:eastAsiaTheme="minorEastAsia" w:hAnsiTheme="minorEastAsia"/>
          <w:kern w:val="0"/>
          <w:sz w:val="28"/>
          <w:szCs w:val="28"/>
        </w:rPr>
        <w:t>ΔrHm</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w:t>
      </w:r>
      <w:proofErr w:type="spellStart"/>
      <w:r w:rsidRPr="00C979CC">
        <w:rPr>
          <w:rFonts w:asciiTheme="minorEastAsia" w:eastAsiaTheme="minorEastAsia" w:hAnsiTheme="minorEastAsia"/>
          <w:kern w:val="0"/>
          <w:sz w:val="28"/>
          <w:szCs w:val="28"/>
        </w:rPr>
        <w:t>ΔrSm</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w:t>
      </w:r>
      <w:proofErr w:type="spellStart"/>
      <w:r w:rsidRPr="00C979CC">
        <w:rPr>
          <w:rFonts w:asciiTheme="minorEastAsia" w:eastAsiaTheme="minorEastAsia" w:hAnsiTheme="minorEastAsia"/>
          <w:kern w:val="0"/>
          <w:sz w:val="28"/>
          <w:szCs w:val="28"/>
        </w:rPr>
        <w:t>ΔrGm</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w:t>
      </w:r>
      <w:proofErr w:type="spellStart"/>
      <w:r w:rsidRPr="00C979CC">
        <w:rPr>
          <w:rFonts w:asciiTheme="minorEastAsia" w:eastAsiaTheme="minorEastAsia" w:hAnsiTheme="minorEastAsia"/>
          <w:kern w:val="0"/>
          <w:sz w:val="28"/>
          <w:szCs w:val="28"/>
        </w:rPr>
        <w:t>ΔrGm</w:t>
      </w:r>
      <w:proofErr w:type="spellEnd"/>
      <w:r w:rsidRPr="00C979CC">
        <w:rPr>
          <w:rFonts w:asciiTheme="minorEastAsia" w:eastAsiaTheme="minorEastAsia" w:hAnsiTheme="minorEastAsia"/>
          <w:kern w:val="0"/>
          <w:sz w:val="28"/>
          <w:szCs w:val="28"/>
        </w:rPr>
        <w:t xml:space="preserve"> 的计算。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(5)掌握吉布斯-亥姆霍兹方程的计算及温度对反应自发性的影响。</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(6)掌握范特霍夫等温式的计算及应用。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(7)掌握化学平衡常数的意义及表达式的书写。</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(8)掌握</w:t>
      </w:r>
      <w:proofErr w:type="spellStart"/>
      <w:r w:rsidRPr="00C979CC">
        <w:rPr>
          <w:rFonts w:asciiTheme="minorEastAsia" w:eastAsiaTheme="minorEastAsia" w:hAnsiTheme="minorEastAsia"/>
          <w:kern w:val="0"/>
          <w:sz w:val="28"/>
          <w:szCs w:val="28"/>
        </w:rPr>
        <w:t>ΔrGm</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 xml:space="preserve"> 和</w:t>
      </w:r>
      <w:proofErr w:type="spellStart"/>
      <w:r w:rsidRPr="00C979CC">
        <w:rPr>
          <w:rFonts w:asciiTheme="minorEastAsia" w:eastAsiaTheme="minorEastAsia" w:hAnsiTheme="minorEastAsia"/>
          <w:kern w:val="0"/>
          <w:sz w:val="28"/>
          <w:szCs w:val="28"/>
        </w:rPr>
        <w:t>K</w:t>
      </w:r>
      <w:r w:rsidRPr="00C979CC">
        <w:rPr>
          <w:rFonts w:asciiTheme="minorEastAsia" w:eastAsiaTheme="minorEastAsia" w:hAnsiTheme="minorEastAsia"/>
          <w:kern w:val="0"/>
          <w:sz w:val="28"/>
          <w:szCs w:val="28"/>
          <w:vertAlign w:val="superscript"/>
        </w:rPr>
        <w:t>θ</w:t>
      </w:r>
      <w:proofErr w:type="spellEnd"/>
      <w:r w:rsidRPr="00C979CC">
        <w:rPr>
          <w:rFonts w:asciiTheme="minorEastAsia" w:eastAsiaTheme="minorEastAsia" w:hAnsiTheme="minorEastAsia"/>
          <w:kern w:val="0"/>
          <w:sz w:val="28"/>
          <w:szCs w:val="28"/>
        </w:rPr>
        <w:t xml:space="preserve"> 的关系和应用。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(9)掌握浓度、压力和温度对化学平衡移动的影响。</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(10)掌握化学反应等温式和平衡常数的有关计算。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(11)掌握多重平衡规则。</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2.2分析化学概论</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(1)掌握误差分类与相应的减免方法，准确度和精密度的概念和二者之间的关系。</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(2)掌握有效数字及运算规则。</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lastRenderedPageBreak/>
        <w:t>(3)掌握滴定分析基本概念和原理、滴定反应的要求与滴定方式、基准物质的条件、标准溶液的配制及滴定结果的计算。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2.3酸碱平衡和酸碱滴定法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(1)了解质子平衡条件式的书写，掌握弱酸、弱碱和两性物质溶液酸碱度的近似计算。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(2)掌握质子酸碱、稀释定律、同离子效应和盐效应、共轭酸碱对、解离常数等基本概念。</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(3)掌握缓冲溶液的类型、配制和有关计算，了解其在农业、生命科学、食品、环境等领域中的相关应用。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(4)掌握酸碱指示剂的变色原理，一元酸（碱）滴定过程中pH 的变化规律（滴定突跃范围）及常用指示剂的选择原则。</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(5) 掌握一元弱酸（碱）能否被准确滴定的条件，多元弱酸（碱）能否被准确滴定（分步滴定）的条件。</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(6)掌握酸碱滴定的有关计算。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2.4沉淀溶解平衡和沉淀滴定法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(1)掌握溶度积和溶解度的换算。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(2)掌握由溶度积原理判断沉淀的生成和溶解。</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(3)掌握分步沉淀及其简单应用，了解沉淀转化的条件。</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(4)了解沉淀滴定法的原理、银量法滴定终点的确定和应用。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2.5氧化还原平衡和氧化还原滴定法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(1)掌握氧化数、氧化与还原、氧化还原电对、原电池、电极电势、标准氢电极等基本概念。</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lastRenderedPageBreak/>
        <w:t>(2)掌握用电池符号表示原电池及原电池电动势的计算。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(3)掌握能斯特方程及浓度（或分压）、酸度对电极电势影响的相关计算。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(4)掌握电极电势的应用。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(5)掌握标准电极电势与氧化还原平衡常数的关系。</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(6)掌握元素标准电势图及应用。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(7)了解氧化还原滴定法的特点，氧化还原指示剂的分类。</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(8)掌握常用的氧化还原滴定法（重铬酸钾法、高锰酸钾法和碘量法）及氧化还原结果的计算。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2.6配位平衡和配位滴定法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(1)掌握配合物的定义、组成和命名。</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2</w:t>
      </w:r>
      <w:r w:rsidRPr="00C979CC">
        <w:rPr>
          <w:rFonts w:asciiTheme="minorEastAsia" w:eastAsiaTheme="minorEastAsia" w:hAnsiTheme="minorEastAsia"/>
          <w:kern w:val="0"/>
          <w:sz w:val="28"/>
          <w:szCs w:val="28"/>
        </w:rPr>
        <w:t>)掌握配位平衡和其它平衡的关系，掌握影响配位平衡移动的因素及相关计算。</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3</w:t>
      </w:r>
      <w:r w:rsidRPr="00C979CC">
        <w:rPr>
          <w:rFonts w:asciiTheme="minorEastAsia" w:eastAsiaTheme="minorEastAsia" w:hAnsiTheme="minorEastAsia"/>
          <w:kern w:val="0"/>
          <w:sz w:val="28"/>
          <w:szCs w:val="28"/>
        </w:rPr>
        <w:t>)了解螯合物的结构特点及螯合效应。</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4</w:t>
      </w:r>
      <w:r w:rsidRPr="00C979CC">
        <w:rPr>
          <w:rFonts w:asciiTheme="minorEastAsia" w:eastAsiaTheme="minorEastAsia" w:hAnsiTheme="minorEastAsia"/>
          <w:kern w:val="0"/>
          <w:sz w:val="28"/>
          <w:szCs w:val="28"/>
        </w:rPr>
        <w:t>)了解配位滴定法的特点及EDTA 的性质。</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5</w:t>
      </w:r>
      <w:r w:rsidRPr="00C979CC">
        <w:rPr>
          <w:rFonts w:asciiTheme="minorEastAsia" w:eastAsiaTheme="minorEastAsia" w:hAnsiTheme="minorEastAsia"/>
          <w:kern w:val="0"/>
          <w:sz w:val="28"/>
          <w:szCs w:val="28"/>
        </w:rPr>
        <w:t>)了解单一金属离子能被准确滴定的条件，配位滴定所允许的最低pH 及提高配位滴定选择性的方法。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6</w:t>
      </w:r>
      <w:r w:rsidRPr="00C979CC">
        <w:rPr>
          <w:rFonts w:asciiTheme="minorEastAsia" w:eastAsiaTheme="minorEastAsia" w:hAnsiTheme="minorEastAsia"/>
          <w:kern w:val="0"/>
          <w:sz w:val="28"/>
          <w:szCs w:val="28"/>
        </w:rPr>
        <w:t>)了解金属指示剂的变色原理，常用指示剂及指示剂使用条件。</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2.7分光光度法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(1)了解分光光度法的基本原理。</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(2)掌握朗伯-比耳定律的原理、应用及摩尔吸光系数，了解引起偏离朗伯-比耳定律的因素。</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lastRenderedPageBreak/>
        <w:t>(3)了解显色反应的特点，掌握显色条件的选择。</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(4)掌握分光光度法的应用和测量条件的选择。</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2.8电势分析法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(1)了解电势分析法的基本原理。</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(2)理解参比电极和指示电极的含义。</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(3)了解离子选择性电极的测定方法。</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kern w:val="0"/>
          <w:sz w:val="28"/>
          <w:szCs w:val="28"/>
        </w:rPr>
      </w:pPr>
      <w:r w:rsidRPr="00C979CC">
        <w:rPr>
          <w:rFonts w:asciiTheme="minorEastAsia" w:eastAsiaTheme="minorEastAsia" w:hAnsiTheme="minorEastAsia"/>
          <w:kern w:val="0"/>
          <w:sz w:val="28"/>
          <w:szCs w:val="28"/>
        </w:rPr>
        <w:t>(4)掌握根据滴定曲线确定滴定终点的方法。</w:t>
      </w:r>
    </w:p>
    <w:p w:rsidR="00AF4CC1" w:rsidRPr="00C979CC" w:rsidRDefault="00AF4CC1" w:rsidP="00AF4CC1">
      <w:pPr>
        <w:spacing w:line="360" w:lineRule="auto"/>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t>三、试卷基本结构</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cs="楷体_GB2312"/>
          <w:kern w:val="0"/>
          <w:sz w:val="28"/>
          <w:szCs w:val="28"/>
        </w:rPr>
      </w:pPr>
      <w:r w:rsidRPr="00C979CC">
        <w:rPr>
          <w:rFonts w:asciiTheme="minorEastAsia" w:eastAsiaTheme="minorEastAsia" w:hAnsiTheme="minorEastAsia" w:cs="楷体_GB2312"/>
          <w:kern w:val="0"/>
          <w:sz w:val="28"/>
          <w:szCs w:val="28"/>
        </w:rPr>
        <w:t>1</w:t>
      </w:r>
      <w:r w:rsidRPr="00C979CC">
        <w:rPr>
          <w:rFonts w:asciiTheme="minorEastAsia" w:eastAsiaTheme="minorEastAsia" w:hAnsiTheme="minorEastAsia" w:cs="楷体_GB2312" w:hint="eastAsia"/>
          <w:kern w:val="0"/>
          <w:sz w:val="28"/>
          <w:szCs w:val="28"/>
        </w:rPr>
        <w:t>、选择题与判断题：占总分的60%左右，内容为概念和基本原理，覆盖本门课程的各部分知识点。</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cs="楷体_GB2312"/>
          <w:kern w:val="0"/>
          <w:sz w:val="28"/>
          <w:szCs w:val="28"/>
        </w:rPr>
      </w:pPr>
      <w:r w:rsidRPr="00C979CC">
        <w:rPr>
          <w:rFonts w:asciiTheme="minorEastAsia" w:eastAsiaTheme="minorEastAsia" w:hAnsiTheme="minorEastAsia" w:cs="楷体_GB2312"/>
          <w:kern w:val="0"/>
          <w:sz w:val="28"/>
          <w:szCs w:val="28"/>
        </w:rPr>
        <w:t>2</w:t>
      </w:r>
      <w:r w:rsidRPr="00C979CC">
        <w:rPr>
          <w:rFonts w:asciiTheme="minorEastAsia" w:eastAsiaTheme="minorEastAsia" w:hAnsiTheme="minorEastAsia" w:cs="楷体_GB2312" w:hint="eastAsia"/>
          <w:kern w:val="0"/>
          <w:sz w:val="28"/>
          <w:szCs w:val="28"/>
        </w:rPr>
        <w:t>、简答题与计算题：占总分的4</w:t>
      </w:r>
      <w:r w:rsidRPr="00C979CC">
        <w:rPr>
          <w:rFonts w:asciiTheme="minorEastAsia" w:eastAsiaTheme="minorEastAsia" w:hAnsiTheme="minorEastAsia" w:cs="楷体_GB2312"/>
          <w:kern w:val="0"/>
          <w:sz w:val="28"/>
          <w:szCs w:val="28"/>
        </w:rPr>
        <w:t>0</w:t>
      </w:r>
      <w:r w:rsidRPr="00C979CC">
        <w:rPr>
          <w:rFonts w:asciiTheme="minorEastAsia" w:eastAsiaTheme="minorEastAsia" w:hAnsiTheme="minorEastAsia" w:cs="楷体_GB2312" w:hint="eastAsia"/>
          <w:kern w:val="0"/>
          <w:sz w:val="28"/>
          <w:szCs w:val="28"/>
        </w:rPr>
        <w:t>%左右，主要为各部分的重要简答题或应用计算题。</w:t>
      </w:r>
    </w:p>
    <w:p w:rsidR="00AF4CC1" w:rsidRPr="00C979CC" w:rsidRDefault="00AF4CC1" w:rsidP="00AF4CC1">
      <w:pPr>
        <w:autoSpaceDE w:val="0"/>
        <w:autoSpaceDN w:val="0"/>
        <w:adjustRightInd w:val="0"/>
        <w:spacing w:line="360" w:lineRule="auto"/>
        <w:jc w:val="left"/>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t>四</w:t>
      </w:r>
      <w:r w:rsidRPr="00C979CC">
        <w:rPr>
          <w:rFonts w:asciiTheme="minorEastAsia" w:eastAsiaTheme="minorEastAsia" w:hAnsiTheme="minorEastAsia"/>
          <w:b/>
          <w:sz w:val="28"/>
          <w:szCs w:val="28"/>
        </w:rPr>
        <w:t>、</w:t>
      </w:r>
      <w:r w:rsidRPr="00C979CC">
        <w:rPr>
          <w:rFonts w:asciiTheme="minorEastAsia" w:eastAsiaTheme="minorEastAsia" w:hAnsiTheme="minorEastAsia" w:hint="eastAsia"/>
          <w:b/>
          <w:sz w:val="28"/>
          <w:szCs w:val="28"/>
        </w:rPr>
        <w:t>考试方式和时间</w:t>
      </w:r>
    </w:p>
    <w:p w:rsidR="00AF4CC1" w:rsidRPr="00C979CC" w:rsidRDefault="00AF4CC1" w:rsidP="00AF4CC1">
      <w:pPr>
        <w:autoSpaceDE w:val="0"/>
        <w:autoSpaceDN w:val="0"/>
        <w:adjustRightInd w:val="0"/>
        <w:spacing w:line="360" w:lineRule="auto"/>
        <w:ind w:firstLineChars="150" w:firstLine="420"/>
        <w:jc w:val="left"/>
        <w:rPr>
          <w:rFonts w:asciiTheme="minorEastAsia" w:eastAsiaTheme="minorEastAsia" w:hAnsiTheme="minorEastAsia" w:cs="楷体_GB2312"/>
          <w:kern w:val="0"/>
          <w:sz w:val="28"/>
          <w:szCs w:val="28"/>
        </w:rPr>
      </w:pPr>
      <w:r w:rsidRPr="00C979CC">
        <w:rPr>
          <w:rFonts w:asciiTheme="minorEastAsia" w:eastAsiaTheme="minorEastAsia" w:hAnsiTheme="minorEastAsia" w:cs="楷体_GB2312" w:hint="eastAsia"/>
          <w:kern w:val="0"/>
          <w:sz w:val="28"/>
          <w:szCs w:val="28"/>
        </w:rPr>
        <w:t>考试采用闭卷笔试形式，满分为1</w:t>
      </w:r>
      <w:r w:rsidR="00361CC2">
        <w:rPr>
          <w:rFonts w:asciiTheme="minorEastAsia" w:eastAsiaTheme="minorEastAsia" w:hAnsiTheme="minorEastAsia" w:cs="楷体_GB2312" w:hint="eastAsia"/>
          <w:kern w:val="0"/>
          <w:sz w:val="28"/>
          <w:szCs w:val="28"/>
        </w:rPr>
        <w:t>50</w:t>
      </w:r>
      <w:bookmarkStart w:id="0" w:name="_GoBack"/>
      <w:bookmarkEnd w:id="0"/>
      <w:r w:rsidRPr="00C979CC">
        <w:rPr>
          <w:rFonts w:asciiTheme="minorEastAsia" w:eastAsiaTheme="minorEastAsia" w:hAnsiTheme="minorEastAsia" w:cs="楷体_GB2312" w:hint="eastAsia"/>
          <w:kern w:val="0"/>
          <w:sz w:val="28"/>
          <w:szCs w:val="28"/>
        </w:rPr>
        <w:t>分</w:t>
      </w:r>
      <w:r>
        <w:rPr>
          <w:rFonts w:asciiTheme="minorEastAsia" w:eastAsiaTheme="minorEastAsia" w:hAnsiTheme="minorEastAsia" w:cs="楷体_GB2312" w:hint="eastAsia"/>
          <w:kern w:val="0"/>
          <w:sz w:val="28"/>
          <w:szCs w:val="28"/>
        </w:rPr>
        <w:t>，</w:t>
      </w:r>
      <w:r w:rsidRPr="00C979CC">
        <w:rPr>
          <w:rFonts w:asciiTheme="minorEastAsia" w:eastAsiaTheme="minorEastAsia" w:hAnsiTheme="minorEastAsia" w:cs="楷体_GB2312" w:hint="eastAsia"/>
          <w:kern w:val="0"/>
          <w:sz w:val="28"/>
          <w:szCs w:val="28"/>
        </w:rPr>
        <w:t>时间为3小时</w:t>
      </w:r>
      <w:r w:rsidRPr="00C979CC">
        <w:rPr>
          <w:rFonts w:asciiTheme="minorEastAsia" w:eastAsiaTheme="minorEastAsia" w:hAnsiTheme="minorEastAsia" w:cs="楷体_GB2312"/>
          <w:kern w:val="0"/>
          <w:sz w:val="28"/>
          <w:szCs w:val="28"/>
        </w:rPr>
        <w:t>。</w:t>
      </w:r>
    </w:p>
    <w:p w:rsidR="00AF4CC1" w:rsidRPr="00C979CC" w:rsidRDefault="00AF4CC1" w:rsidP="00AF4CC1">
      <w:pPr>
        <w:spacing w:line="360" w:lineRule="auto"/>
        <w:rPr>
          <w:rFonts w:asciiTheme="minorEastAsia" w:eastAsiaTheme="minorEastAsia" w:hAnsiTheme="minorEastAsia"/>
          <w:b/>
          <w:sz w:val="28"/>
          <w:szCs w:val="28"/>
        </w:rPr>
      </w:pPr>
      <w:r w:rsidRPr="00C979CC">
        <w:rPr>
          <w:rFonts w:asciiTheme="minorEastAsia" w:eastAsiaTheme="minorEastAsia" w:hAnsiTheme="minorEastAsia" w:hint="eastAsia"/>
          <w:b/>
          <w:sz w:val="28"/>
          <w:szCs w:val="28"/>
        </w:rPr>
        <w:t>五、主要参考书</w:t>
      </w:r>
    </w:p>
    <w:p w:rsidR="00AF4CC1" w:rsidRPr="00C979CC" w:rsidRDefault="00AF4CC1" w:rsidP="00AF4CC1">
      <w:pPr>
        <w:snapToGrid w:val="0"/>
        <w:spacing w:line="360" w:lineRule="auto"/>
        <w:rPr>
          <w:rFonts w:asciiTheme="minorEastAsia" w:eastAsiaTheme="minorEastAsia" w:hAnsiTheme="minorEastAsia"/>
          <w:kern w:val="0"/>
          <w:sz w:val="28"/>
          <w:szCs w:val="28"/>
        </w:rPr>
      </w:pPr>
      <w:r w:rsidRPr="00C979CC">
        <w:rPr>
          <w:rFonts w:asciiTheme="minorEastAsia" w:eastAsiaTheme="minorEastAsia" w:hAnsiTheme="minorEastAsia" w:hint="eastAsia"/>
          <w:kern w:val="0"/>
          <w:sz w:val="28"/>
          <w:szCs w:val="28"/>
        </w:rPr>
        <w:t xml:space="preserve">    王运，胡先文主编.《无机及分析化学》,第四版（“十二五</w:t>
      </w:r>
      <w:r w:rsidRPr="00C979CC">
        <w:rPr>
          <w:rFonts w:asciiTheme="minorEastAsia" w:eastAsiaTheme="minorEastAsia" w:hAnsiTheme="minorEastAsia"/>
          <w:kern w:val="0"/>
          <w:sz w:val="28"/>
          <w:szCs w:val="28"/>
        </w:rPr>
        <w:t>”</w:t>
      </w:r>
      <w:r w:rsidRPr="00C979CC">
        <w:rPr>
          <w:rFonts w:asciiTheme="minorEastAsia" w:eastAsiaTheme="minorEastAsia" w:hAnsiTheme="minorEastAsia" w:hint="eastAsia"/>
          <w:kern w:val="0"/>
          <w:sz w:val="28"/>
          <w:szCs w:val="28"/>
        </w:rPr>
        <w:t xml:space="preserve">国家级规划教材）.北京:科学出版社2016. </w:t>
      </w:r>
    </w:p>
    <w:p w:rsidR="00AF4CC1" w:rsidRPr="00C979CC" w:rsidRDefault="00AF4CC1" w:rsidP="00AF4CC1">
      <w:pPr>
        <w:spacing w:line="360" w:lineRule="auto"/>
        <w:rPr>
          <w:rFonts w:asciiTheme="minorEastAsia" w:eastAsiaTheme="minorEastAsia" w:hAnsiTheme="minorEastAsia"/>
          <w:sz w:val="28"/>
          <w:szCs w:val="28"/>
        </w:rPr>
      </w:pPr>
    </w:p>
    <w:p w:rsidR="00AF4CC1" w:rsidRDefault="00AF4CC1" w:rsidP="00AF4CC1">
      <w:pPr>
        <w:spacing w:line="500" w:lineRule="exact"/>
        <w:jc w:val="left"/>
        <w:rPr>
          <w:rFonts w:eastAsia="仿宋"/>
          <w:sz w:val="28"/>
          <w:szCs w:val="28"/>
        </w:rPr>
      </w:pPr>
    </w:p>
    <w:p w:rsidR="00AF4CC1" w:rsidRDefault="00AF4CC1" w:rsidP="00AF4CC1">
      <w:pPr>
        <w:rPr>
          <w:rFonts w:ascii="宋体" w:hAnsi="宋体"/>
          <w:b/>
          <w:sz w:val="28"/>
          <w:szCs w:val="28"/>
        </w:rPr>
      </w:pPr>
    </w:p>
    <w:p w:rsidR="00AF4CC1" w:rsidRDefault="00AF4CC1" w:rsidP="00AF4CC1">
      <w:pPr>
        <w:rPr>
          <w:rFonts w:ascii="宋体" w:hAnsi="宋体"/>
          <w:b/>
          <w:sz w:val="28"/>
          <w:szCs w:val="28"/>
        </w:rPr>
      </w:pPr>
    </w:p>
    <w:p w:rsidR="00AF4CC1" w:rsidRPr="004068FC" w:rsidRDefault="00AF4CC1" w:rsidP="00AF4CC1">
      <w:pPr>
        <w:rPr>
          <w:rFonts w:ascii="宋体" w:hAnsi="宋体"/>
          <w:b/>
          <w:sz w:val="28"/>
          <w:szCs w:val="28"/>
        </w:rPr>
      </w:pPr>
    </w:p>
    <w:p w:rsidR="006626B6" w:rsidRDefault="006626B6"/>
    <w:sectPr w:rsidR="006626B6" w:rsidSect="006626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EA4" w:rsidRDefault="005E2EA4" w:rsidP="00270F63">
      <w:r>
        <w:separator/>
      </w:r>
    </w:p>
  </w:endnote>
  <w:endnote w:type="continuationSeparator" w:id="0">
    <w:p w:rsidR="005E2EA4" w:rsidRDefault="005E2EA4" w:rsidP="00270F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EA4" w:rsidRDefault="005E2EA4" w:rsidP="00270F63">
      <w:r>
        <w:separator/>
      </w:r>
    </w:p>
  </w:footnote>
  <w:footnote w:type="continuationSeparator" w:id="0">
    <w:p w:rsidR="005E2EA4" w:rsidRDefault="005E2EA4" w:rsidP="00270F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4CC1"/>
    <w:rsid w:val="0012067F"/>
    <w:rsid w:val="00270F63"/>
    <w:rsid w:val="002B7388"/>
    <w:rsid w:val="00361CC2"/>
    <w:rsid w:val="005E2EA4"/>
    <w:rsid w:val="006626B6"/>
    <w:rsid w:val="008353B8"/>
    <w:rsid w:val="009D4735"/>
    <w:rsid w:val="00A55171"/>
    <w:rsid w:val="00A911AC"/>
    <w:rsid w:val="00AF4CC1"/>
    <w:rsid w:val="00B95F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CC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0F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0F63"/>
    <w:rPr>
      <w:rFonts w:ascii="Times New Roman" w:eastAsia="宋体" w:hAnsi="Times New Roman" w:cs="Times New Roman"/>
      <w:sz w:val="18"/>
      <w:szCs w:val="18"/>
    </w:rPr>
  </w:style>
  <w:style w:type="paragraph" w:styleId="a4">
    <w:name w:val="footer"/>
    <w:basedOn w:val="a"/>
    <w:link w:val="Char0"/>
    <w:uiPriority w:val="99"/>
    <w:unhideWhenUsed/>
    <w:rsid w:val="00270F63"/>
    <w:pPr>
      <w:tabs>
        <w:tab w:val="center" w:pos="4153"/>
        <w:tab w:val="right" w:pos="8306"/>
      </w:tabs>
      <w:snapToGrid w:val="0"/>
      <w:jc w:val="left"/>
    </w:pPr>
    <w:rPr>
      <w:sz w:val="18"/>
      <w:szCs w:val="18"/>
    </w:rPr>
  </w:style>
  <w:style w:type="character" w:customStyle="1" w:styleId="Char0">
    <w:name w:val="页脚 Char"/>
    <w:basedOn w:val="a0"/>
    <w:link w:val="a4"/>
    <w:uiPriority w:val="99"/>
    <w:rsid w:val="00270F6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5</cp:revision>
  <dcterms:created xsi:type="dcterms:W3CDTF">2018-07-03T07:34:00Z</dcterms:created>
  <dcterms:modified xsi:type="dcterms:W3CDTF">2018-09-05T08:56:00Z</dcterms:modified>
</cp:coreProperties>
</file>